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A68C4" w14:textId="77777777" w:rsidR="003F42EF" w:rsidRDefault="003F42EF" w:rsidP="003B1EBF">
      <w:pPr>
        <w:pStyle w:val="Heading1"/>
      </w:pPr>
      <w:bookmarkStart w:id="0" w:name="Prov1"/>
      <w:r>
        <w:t xml:space="preserve">Additional </w:t>
      </w:r>
      <w:proofErr w:type="gramStart"/>
      <w:r w:rsidRPr="001D5CCE">
        <w:t>Incorporated</w:t>
      </w:r>
      <w:proofErr w:type="gramEnd"/>
      <w:r>
        <w:t xml:space="preserve"> </w:t>
      </w:r>
      <w:bookmarkEnd w:id="0"/>
      <w:r>
        <w:t xml:space="preserve">The following documents and any subsequent updates are not attached, but are incorporated herein and made a part hereof by this reference.  </w:t>
      </w:r>
      <w:r w:rsidR="00B76F8A">
        <w:t>CDPH will maintain on file, all documents referenced herein and any subsequent updates</w:t>
      </w:r>
      <w:r>
        <w:t>, as required by program directives.  CDPH shall provide the C</w:t>
      </w:r>
      <w:bookmarkStart w:id="1" w:name="_Hlt478096359"/>
      <w:bookmarkEnd w:id="1"/>
      <w:r>
        <w:t xml:space="preserve">ontractor with copies of said documents and any periodic updates </w:t>
      </w:r>
      <w:r w:rsidR="00B76F8A">
        <w:t xml:space="preserve">thereto, under separate cover. </w:t>
      </w:r>
    </w:p>
    <w:p w14:paraId="5C31FD25" w14:textId="77777777" w:rsidR="001D5CCE" w:rsidRDefault="001D5CCE" w:rsidP="001D5CCE">
      <w:pPr>
        <w:numPr>
          <w:ilvl w:val="0"/>
          <w:numId w:val="3"/>
        </w:numPr>
        <w:tabs>
          <w:tab w:val="clear" w:pos="360"/>
          <w:tab w:val="num" w:pos="1440"/>
        </w:tabs>
        <w:ind w:left="1440"/>
        <w:jc w:val="both"/>
      </w:pPr>
      <w:r>
        <w:rPr>
          <w:color w:val="333399"/>
        </w:rPr>
        <w:t>Name</w:t>
      </w:r>
      <w:r>
        <w:t xml:space="preserve"> (i.e., Program Manual/web link)</w:t>
      </w:r>
      <w:bookmarkStart w:id="2" w:name="_GoBack"/>
      <w:bookmarkEnd w:id="2"/>
    </w:p>
    <w:p w14:paraId="04C95B66" w14:textId="77777777" w:rsidR="001D5CCE" w:rsidRDefault="001D5CCE" w:rsidP="001D5CCE">
      <w:pPr>
        <w:numPr>
          <w:ilvl w:val="0"/>
          <w:numId w:val="3"/>
        </w:numPr>
        <w:tabs>
          <w:tab w:val="clear" w:pos="360"/>
          <w:tab w:val="num" w:pos="1440"/>
        </w:tabs>
        <w:ind w:left="1440"/>
        <w:jc w:val="both"/>
      </w:pPr>
      <w:r>
        <w:rPr>
          <w:color w:val="333399"/>
        </w:rPr>
        <w:t>Name</w:t>
      </w:r>
      <w:r>
        <w:t xml:space="preserve"> (i.e., Numbered Program Policy letters/web link)</w:t>
      </w:r>
    </w:p>
    <w:p w14:paraId="3BC3FB32" w14:textId="77777777" w:rsidR="00802C3D" w:rsidRPr="001D5CCE" w:rsidRDefault="00802C3D" w:rsidP="001D5CCE">
      <w:pPr>
        <w:pStyle w:val="Heading1"/>
        <w:rPr>
          <w:rFonts w:cs="Arial"/>
          <w:szCs w:val="22"/>
        </w:rPr>
      </w:pPr>
      <w:r w:rsidRPr="001D5CCE">
        <w:t>I</w:t>
      </w:r>
      <w:r w:rsidR="009911B9" w:rsidRPr="001D5CCE">
        <w:t>nsurance Requirements</w:t>
      </w:r>
    </w:p>
    <w:p w14:paraId="68888E45" w14:textId="77777777" w:rsidR="001D5CCE" w:rsidRDefault="00802C3D" w:rsidP="00F00CD4">
      <w:pPr>
        <w:keepNext/>
        <w:keepLines/>
        <w:ind w:left="1267" w:hanging="547"/>
        <w:rPr>
          <w:rFonts w:cs="Arial"/>
          <w:szCs w:val="22"/>
          <w:u w:val="single"/>
        </w:rPr>
      </w:pPr>
      <w:r w:rsidRPr="00BA624E">
        <w:rPr>
          <w:rFonts w:cs="Arial"/>
          <w:szCs w:val="22"/>
        </w:rPr>
        <w:t>A.</w:t>
      </w:r>
      <w:r w:rsidRPr="00BA624E">
        <w:rPr>
          <w:rFonts w:cs="Arial"/>
          <w:szCs w:val="22"/>
        </w:rPr>
        <w:tab/>
      </w:r>
      <w:r w:rsidRPr="00BA624E">
        <w:rPr>
          <w:rFonts w:cs="Arial"/>
          <w:szCs w:val="22"/>
          <w:u w:val="single"/>
        </w:rPr>
        <w:t>General Provisions Applying to All Policies</w:t>
      </w:r>
    </w:p>
    <w:p w14:paraId="59C6D67D"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Coverage Term </w:t>
      </w:r>
      <w:r w:rsidRPr="00BA624E">
        <w:rPr>
          <w:rFonts w:cs="Arial"/>
          <w:szCs w:val="22"/>
        </w:rPr>
        <w:t>– Coverage needs to be in force for the complete term of the Agreement.  If insurance expires during the term of the Agreement, a new certificate and required endorsements</w:t>
      </w:r>
      <w:r w:rsidRPr="00BA624E">
        <w:rPr>
          <w:rFonts w:cs="Arial"/>
          <w:color w:val="008000"/>
          <w:szCs w:val="22"/>
        </w:rPr>
        <w:t xml:space="preserve"> </w:t>
      </w:r>
      <w:r w:rsidRPr="00BA624E">
        <w:rPr>
          <w:rFonts w:cs="Arial"/>
          <w:szCs w:val="22"/>
        </w:rPr>
        <w:t>must be received by the State at least ten (10) days prior to the expiration of this insurance.  Any new insurance must comply with the original Agreement terms.</w:t>
      </w:r>
    </w:p>
    <w:p w14:paraId="3C1F690E"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Policy Cancellation or Termination and Notice of Non-Renewal</w:t>
      </w:r>
      <w:r w:rsidRPr="00BA624E">
        <w:rPr>
          <w:rFonts w:cs="Arial"/>
          <w:szCs w:val="22"/>
        </w:rPr>
        <w:t xml:space="preserve"> </w:t>
      </w:r>
      <w:proofErr w:type="gramStart"/>
      <w:r w:rsidRPr="00BA624E">
        <w:rPr>
          <w:rFonts w:cs="Arial"/>
          <w:szCs w:val="22"/>
        </w:rPr>
        <w:t>–  Contractor</w:t>
      </w:r>
      <w:proofErr w:type="gramEnd"/>
      <w:r w:rsidRPr="00BA624E">
        <w:rPr>
          <w:rFonts w:cs="Arial"/>
          <w:szCs w:val="22"/>
        </w:rPr>
        <w:t xml:space="preserve"> shall provide to the </w:t>
      </w:r>
      <w:r>
        <w:rPr>
          <w:rFonts w:cs="Arial"/>
          <w:szCs w:val="22"/>
        </w:rPr>
        <w:t>CDPH</w:t>
      </w:r>
      <w:r w:rsidRPr="00BA624E">
        <w:rPr>
          <w:rFonts w:cs="Arial"/>
          <w:szCs w:val="22"/>
        </w:rPr>
        <w:t xml:space="preserve"> within five (5) business days following receipt by Contractor a copy of any cancellation or non-renewal of insurance required by this Contract. In the event Contractor fails to keep in effect at all times the specified insurance coverage, the </w:t>
      </w:r>
      <w:r>
        <w:rPr>
          <w:rFonts w:cs="Arial"/>
          <w:szCs w:val="22"/>
        </w:rPr>
        <w:t>CDPH</w:t>
      </w:r>
      <w:r w:rsidRPr="00BA624E">
        <w:rPr>
          <w:rFonts w:cs="Arial"/>
          <w:szCs w:val="22"/>
        </w:rPr>
        <w:t xml:space="preserve"> may, in addition to any other remedies it may have, terminate this Contract upon the occurrence of such event, subject to the provisions of this Contract.</w:t>
      </w:r>
    </w:p>
    <w:p w14:paraId="1C0E0A4A"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Premiums, Assessments and Deductibles</w:t>
      </w:r>
      <w:r w:rsidRPr="00BA624E">
        <w:rPr>
          <w:rFonts w:cs="Arial"/>
          <w:szCs w:val="22"/>
        </w:rPr>
        <w:t xml:space="preserve"> – Contractor is responsible for any premiums, policy assessments, deductibles or self-insured retentions contained within their insurance program.</w:t>
      </w:r>
    </w:p>
    <w:p w14:paraId="61AD884E"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Primary Clause</w:t>
      </w:r>
      <w:r w:rsidRPr="00BA624E">
        <w:rPr>
          <w:rFonts w:cs="Arial"/>
          <w:szCs w:val="22"/>
        </w:rPr>
        <w:t xml:space="preserve"> – Any required insurance contained in this Agreement shall be primary and not excess or contributory to any other insurance carried by the </w:t>
      </w:r>
      <w:r>
        <w:rPr>
          <w:rFonts w:cs="Arial"/>
          <w:szCs w:val="22"/>
        </w:rPr>
        <w:t>CDPH</w:t>
      </w:r>
      <w:r w:rsidRPr="00BA624E">
        <w:rPr>
          <w:rFonts w:cs="Arial"/>
          <w:szCs w:val="22"/>
        </w:rPr>
        <w:t>.</w:t>
      </w:r>
    </w:p>
    <w:p w14:paraId="595306DB"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Insurance Carrier Required Rating</w:t>
      </w:r>
      <w:r w:rsidRPr="00BA624E">
        <w:rPr>
          <w:rFonts w:cs="Arial"/>
          <w:szCs w:val="22"/>
        </w:rPr>
        <w:t xml:space="preserve"> – All insurance companies must carry an AM Best rating of at least “A–” with a financial category rating of no lower than VI.  If Contractor is self-insured for a portion or all of its insurance, review of financial information including a letter of credit may be required.</w:t>
      </w:r>
    </w:p>
    <w:p w14:paraId="613AD653"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Endorsements </w:t>
      </w:r>
      <w:r w:rsidRPr="00BA624E">
        <w:rPr>
          <w:rFonts w:cs="Arial"/>
          <w:szCs w:val="22"/>
        </w:rPr>
        <w:t xml:space="preserve">– Any required endorsements requested by the </w:t>
      </w:r>
      <w:r>
        <w:rPr>
          <w:rFonts w:cs="Arial"/>
          <w:szCs w:val="22"/>
        </w:rPr>
        <w:t>CDPH</w:t>
      </w:r>
      <w:r w:rsidRPr="00BA624E">
        <w:rPr>
          <w:rFonts w:cs="Arial"/>
          <w:szCs w:val="22"/>
        </w:rPr>
        <w:t xml:space="preserve"> must be physically attached to all requested certificates of insurance and not substituted by referring to such coverage on the certificate of insurance.</w:t>
      </w:r>
    </w:p>
    <w:p w14:paraId="293D1508"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Inadequate Insurance </w:t>
      </w:r>
      <w:r w:rsidRPr="00BA624E">
        <w:rPr>
          <w:rFonts w:cs="Arial"/>
          <w:szCs w:val="22"/>
        </w:rPr>
        <w:t xml:space="preserve">– Inadequate or lack of insurance does not negate Contractor’s </w:t>
      </w:r>
      <w:r w:rsidRPr="003A1816">
        <w:rPr>
          <w:rFonts w:cs="Arial"/>
          <w:szCs w:val="22"/>
          <w:u w:val="single"/>
        </w:rPr>
        <w:t>obligations</w:t>
      </w:r>
      <w:r w:rsidRPr="00BA624E">
        <w:rPr>
          <w:rFonts w:cs="Arial"/>
          <w:szCs w:val="22"/>
        </w:rPr>
        <w:t xml:space="preserve"> under the Agreement.</w:t>
      </w:r>
    </w:p>
    <w:p w14:paraId="275C9672"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Use of Subcontractors </w:t>
      </w:r>
      <w:r w:rsidRPr="00BA624E">
        <w:rPr>
          <w:rFonts w:cs="Arial"/>
          <w:szCs w:val="22"/>
        </w:rPr>
        <w:t xml:space="preserve">- In the case of Contractor’s utilization of Subcontractors to complete the contracted scope of work, Contractor shall include all Subcontractors as </w:t>
      </w:r>
      <w:r w:rsidRPr="00BA624E">
        <w:rPr>
          <w:rFonts w:cs="Arial"/>
          <w:szCs w:val="22"/>
        </w:rPr>
        <w:lastRenderedPageBreak/>
        <w:t xml:space="preserve">insured under Contractor’s insurance or supply evidence of the Subcontractor’s insurance to the </w:t>
      </w:r>
      <w:r w:rsidR="009911B9">
        <w:rPr>
          <w:rFonts w:cs="Arial"/>
          <w:szCs w:val="22"/>
        </w:rPr>
        <w:t>CDPH</w:t>
      </w:r>
      <w:r w:rsidRPr="00BA624E">
        <w:rPr>
          <w:rFonts w:cs="Arial"/>
          <w:szCs w:val="22"/>
        </w:rPr>
        <w:t xml:space="preserve"> equal to policies, coverages, and limits required of Contractor.</w:t>
      </w:r>
    </w:p>
    <w:p w14:paraId="26045248" w14:textId="77777777" w:rsidR="001D5CCE" w:rsidRDefault="00802C3D" w:rsidP="003A1816">
      <w:pPr>
        <w:ind w:left="1260" w:hanging="360"/>
        <w:rPr>
          <w:rFonts w:cs="Arial"/>
          <w:szCs w:val="22"/>
        </w:rPr>
      </w:pPr>
      <w:r w:rsidRPr="00BA624E">
        <w:rPr>
          <w:rFonts w:cs="Arial"/>
          <w:szCs w:val="22"/>
        </w:rPr>
        <w:t>B.</w:t>
      </w:r>
      <w:r w:rsidRPr="00BA624E">
        <w:rPr>
          <w:rFonts w:cs="Arial"/>
          <w:szCs w:val="22"/>
        </w:rPr>
        <w:tab/>
      </w:r>
      <w:r w:rsidRPr="00BA624E">
        <w:rPr>
          <w:rFonts w:cs="Arial"/>
          <w:szCs w:val="22"/>
          <w:u w:val="single"/>
        </w:rPr>
        <w:t>Insurance Coverage Requirements</w:t>
      </w:r>
      <w:r w:rsidRPr="00BA624E">
        <w:rPr>
          <w:rFonts w:cs="Arial"/>
          <w:szCs w:val="22"/>
        </w:rPr>
        <w:t xml:space="preserve"> </w:t>
      </w:r>
    </w:p>
    <w:p w14:paraId="0ED556D9" w14:textId="77777777" w:rsidR="001D5CCE" w:rsidRDefault="00802C3D" w:rsidP="003A1816">
      <w:pPr>
        <w:ind w:left="1260"/>
        <w:rPr>
          <w:rFonts w:cs="Arial"/>
          <w:szCs w:val="22"/>
        </w:rPr>
      </w:pPr>
      <w:r w:rsidRPr="00BA624E">
        <w:rPr>
          <w:rFonts w:cs="Arial"/>
          <w:szCs w:val="22"/>
        </w:rPr>
        <w:t>Contractor shall display evidence of certificate of insurance evidencing the following coverage:</w:t>
      </w:r>
    </w:p>
    <w:p w14:paraId="29716946" w14:textId="77777777" w:rsidR="001D5CCE" w:rsidRDefault="00802C3D" w:rsidP="003A1816">
      <w:pPr>
        <w:ind w:left="1620" w:hanging="360"/>
        <w:rPr>
          <w:rFonts w:cs="Arial"/>
          <w:szCs w:val="22"/>
        </w:rPr>
      </w:pPr>
      <w:r w:rsidRPr="00BA624E">
        <w:rPr>
          <w:rFonts w:cs="Arial"/>
          <w:szCs w:val="22"/>
        </w:rPr>
        <w:t>1)</w:t>
      </w:r>
      <w:r w:rsidRPr="00BA624E">
        <w:rPr>
          <w:rFonts w:cs="Arial"/>
          <w:szCs w:val="22"/>
        </w:rPr>
        <w:tab/>
      </w:r>
      <w:r w:rsidRPr="00BA624E">
        <w:rPr>
          <w:rFonts w:cs="Arial"/>
          <w:szCs w:val="22"/>
          <w:u w:val="single"/>
        </w:rPr>
        <w:t xml:space="preserve">Commercial General </w:t>
      </w:r>
      <w:proofErr w:type="gramStart"/>
      <w:r w:rsidRPr="00BA624E">
        <w:rPr>
          <w:rFonts w:cs="Arial"/>
          <w:szCs w:val="22"/>
          <w:u w:val="single"/>
        </w:rPr>
        <w:t>Liability</w:t>
      </w:r>
      <w:r w:rsidRPr="00BA624E">
        <w:rPr>
          <w:rFonts w:cs="Arial"/>
          <w:szCs w:val="22"/>
        </w:rPr>
        <w:t xml:space="preserve"> </w:t>
      </w:r>
      <w:r w:rsidRPr="00BA624E">
        <w:rPr>
          <w:rFonts w:cs="Arial"/>
          <w:bCs/>
          <w:color w:val="FF0000"/>
          <w:szCs w:val="22"/>
        </w:rPr>
        <w:t xml:space="preserve"> </w:t>
      </w:r>
      <w:r w:rsidRPr="00BA624E">
        <w:rPr>
          <w:rFonts w:cs="Arial"/>
          <w:szCs w:val="22"/>
        </w:rPr>
        <w:t>–</w:t>
      </w:r>
      <w:proofErr w:type="gramEnd"/>
      <w:r w:rsidRPr="00BA624E">
        <w:rPr>
          <w:rFonts w:cs="Arial"/>
          <w:szCs w:val="22"/>
        </w:rPr>
        <w:t xml:space="preserve"> Contractor shall maintain general liability with limits not less than $1,000,000 per occurrence for bodily injury and property damage combined with a $2,000,000 annual policy aggregate.  The policy shall include coverage for liabilities arising out of premises, operations, independent Contractors, products, completed operations, personal and advertising injury, and liability assumed under an insured Agreement.  This insurance shall apply separately to each insured against whom claim is made or suit is brought subject to Contractor’s limit of liability. The policy shall be endorsed to include, “The State of California, its officers, agents, employees, and servants as additional insured, but only insofar as the operations under this Agreement are concerned.”   This endorsement must be supplied under form acceptable to the Office of Risk and Insurance Management.</w:t>
      </w:r>
    </w:p>
    <w:p w14:paraId="7EE05CDF" w14:textId="77777777" w:rsidR="001D5CCE" w:rsidRDefault="00802C3D" w:rsidP="003A1816">
      <w:pPr>
        <w:ind w:left="1620" w:hanging="360"/>
        <w:rPr>
          <w:rFonts w:cs="Arial"/>
          <w:szCs w:val="22"/>
        </w:rPr>
      </w:pPr>
      <w:r w:rsidRPr="00BA624E">
        <w:rPr>
          <w:rFonts w:cs="Arial"/>
          <w:szCs w:val="22"/>
        </w:rPr>
        <w:t>2)</w:t>
      </w:r>
      <w:r w:rsidRPr="00BA624E">
        <w:rPr>
          <w:rFonts w:cs="Arial"/>
          <w:szCs w:val="22"/>
        </w:rPr>
        <w:tab/>
      </w:r>
      <w:r w:rsidRPr="00BA624E">
        <w:rPr>
          <w:rFonts w:cs="Arial"/>
          <w:szCs w:val="22"/>
          <w:u w:val="single"/>
        </w:rPr>
        <w:t>Automobile Liability</w:t>
      </w:r>
      <w:r w:rsidRPr="00BA624E">
        <w:rPr>
          <w:rFonts w:cs="Arial"/>
          <w:szCs w:val="22"/>
        </w:rPr>
        <w:t xml:space="preserve"> (when required) – Contractor shall maintain motor vehicle liability insurance with limits not less than $1,000,000 combined single limit per accident.  Such insurance shall cover liability arising out of a motor vehicle including owned, hired and non-owned motor vehicles.  Should the scope of the Agreement involve transportation of hazardous materials, evidence of an MCS-90 endorsement is required. The policy shall be endorsed to include, “The State of California, its officers, agents, employees, and servants as additional insured, but only insofar as the operations under this Agreement are concerned.”  This endorsement must be supplied under form acceptable to the Office of Risk and Insurance Management.</w:t>
      </w:r>
    </w:p>
    <w:p w14:paraId="0057CAEE" w14:textId="77777777" w:rsidR="001D5CCE" w:rsidRDefault="00802C3D" w:rsidP="003A1816">
      <w:pPr>
        <w:ind w:left="1620" w:hanging="360"/>
        <w:rPr>
          <w:rFonts w:cs="Arial"/>
          <w:szCs w:val="22"/>
        </w:rPr>
      </w:pPr>
      <w:r w:rsidRPr="00BA624E">
        <w:rPr>
          <w:rFonts w:cs="Arial"/>
          <w:szCs w:val="22"/>
        </w:rPr>
        <w:t>3)</w:t>
      </w:r>
      <w:r w:rsidRPr="00BA624E">
        <w:rPr>
          <w:rFonts w:cs="Arial"/>
          <w:szCs w:val="22"/>
        </w:rPr>
        <w:tab/>
      </w:r>
      <w:r w:rsidRPr="00BA624E">
        <w:rPr>
          <w:rFonts w:cs="Arial"/>
          <w:szCs w:val="22"/>
          <w:u w:val="single"/>
        </w:rPr>
        <w:t>Worker’s Compensation and Employer’s Liability</w:t>
      </w:r>
      <w:r w:rsidRPr="00BA624E">
        <w:rPr>
          <w:rFonts w:cs="Arial"/>
          <w:szCs w:val="22"/>
        </w:rPr>
        <w:t xml:space="preserve"> (when required) – Contractor shall </w:t>
      </w:r>
      <w:r w:rsidRPr="003A1816">
        <w:rPr>
          <w:rFonts w:cs="Arial"/>
          <w:szCs w:val="22"/>
          <w:u w:val="single"/>
        </w:rPr>
        <w:t>maintain</w:t>
      </w:r>
      <w:r w:rsidRPr="00BA624E">
        <w:rPr>
          <w:rFonts w:cs="Arial"/>
          <w:szCs w:val="22"/>
        </w:rPr>
        <w:t xml:space="preserve"> statutory worker’s compensation and employer’s liability coverage for all its employees who will be engaged in the performance of the Agreement.  Employer’s liability limits of $1,000,000 are required.  When work is performed on State owned or controlled property the policy shall contain a waiver of subrogation endorsement in favor of the State. This endorsement must be supplied under form acceptable to the Office of Risk and Insurance Management.</w:t>
      </w:r>
    </w:p>
    <w:p w14:paraId="4310BFF0" w14:textId="77777777" w:rsidR="001D5CCE" w:rsidRDefault="00802C3D" w:rsidP="003A1816">
      <w:pPr>
        <w:ind w:left="1620" w:hanging="360"/>
        <w:rPr>
          <w:rFonts w:cs="Arial"/>
          <w:szCs w:val="22"/>
        </w:rPr>
      </w:pPr>
      <w:r w:rsidRPr="00BA624E">
        <w:rPr>
          <w:rFonts w:cs="Arial"/>
          <w:szCs w:val="22"/>
        </w:rPr>
        <w:t>4)</w:t>
      </w:r>
      <w:r w:rsidRPr="00BA624E">
        <w:rPr>
          <w:rFonts w:cs="Arial"/>
          <w:szCs w:val="22"/>
        </w:rPr>
        <w:tab/>
      </w:r>
      <w:r w:rsidRPr="00BA624E">
        <w:rPr>
          <w:rFonts w:cs="Arial"/>
          <w:szCs w:val="22"/>
          <w:u w:val="single"/>
        </w:rPr>
        <w:t>Professional Liability</w:t>
      </w:r>
      <w:r w:rsidRPr="00BA624E">
        <w:rPr>
          <w:rFonts w:cs="Arial"/>
          <w:szCs w:val="22"/>
        </w:rPr>
        <w:t xml:space="preserve"> (when required) – Contractor shall maintain professional liability covering any damages caused by a negligent error; act or omission with limits not less than $1,000,000 per occurrence and $1,000,000 policy aggregate. The policy’s retroactive date must be displayed on the certificate of insurance and must be before the date this Agreement was executed or before the beginning of Agreement work.</w:t>
      </w:r>
    </w:p>
    <w:p w14:paraId="74A02BDC" w14:textId="77777777" w:rsidR="001D5CCE" w:rsidRDefault="00802C3D" w:rsidP="003A1816">
      <w:pPr>
        <w:ind w:left="1620" w:hanging="360"/>
        <w:rPr>
          <w:rFonts w:cs="Arial"/>
          <w:szCs w:val="22"/>
        </w:rPr>
      </w:pPr>
      <w:r w:rsidRPr="00BA624E">
        <w:rPr>
          <w:rFonts w:cs="Arial"/>
          <w:szCs w:val="22"/>
        </w:rPr>
        <w:t>5)</w:t>
      </w:r>
      <w:r w:rsidRPr="00BA624E">
        <w:rPr>
          <w:rFonts w:cs="Arial"/>
          <w:szCs w:val="22"/>
        </w:rPr>
        <w:tab/>
      </w:r>
      <w:r w:rsidRPr="00BA624E">
        <w:rPr>
          <w:rFonts w:cs="Arial"/>
          <w:szCs w:val="22"/>
          <w:u w:val="single"/>
        </w:rPr>
        <w:t>Environmental/Pollution Liability</w:t>
      </w:r>
      <w:r w:rsidRPr="00BA624E">
        <w:rPr>
          <w:rFonts w:cs="Arial"/>
          <w:szCs w:val="22"/>
        </w:rPr>
        <w:t xml:space="preserve"> (when required) – Contractor shall maintain pollution liability for limits not less than $1,000,000 per claim covering Contractor’s liability for </w:t>
      </w:r>
      <w:proofErr w:type="gramStart"/>
      <w:r w:rsidRPr="00BA624E">
        <w:rPr>
          <w:rFonts w:cs="Arial"/>
          <w:szCs w:val="22"/>
        </w:rPr>
        <w:t>bodily</w:t>
      </w:r>
      <w:proofErr w:type="gramEnd"/>
      <w:r w:rsidRPr="00BA624E">
        <w:rPr>
          <w:rFonts w:cs="Arial"/>
          <w:szCs w:val="22"/>
        </w:rPr>
        <w:t xml:space="preserve"> injury, property damage and environmental damage resulting from pollution and related cleanup costs incurred arising out of the work or services to be performed </w:t>
      </w:r>
      <w:r w:rsidRPr="00BA624E">
        <w:rPr>
          <w:rFonts w:cs="Arial"/>
          <w:szCs w:val="22"/>
        </w:rPr>
        <w:lastRenderedPageBreak/>
        <w:t>under this Agreement.  Coverage shall be provided for both work performed on site as well as transportation and proper disposal of hazardous materials.  The policy shall be endorsed to include, “The State of California, its officers, agents, employees, and servants as additional insured, but only insofar as the operations under this Agreement are concerned.” This endorsement must be supplied under form acceptable to the Office of Risk and Insurance Management.</w:t>
      </w:r>
    </w:p>
    <w:p w14:paraId="3FBF7EB3" w14:textId="77777777" w:rsidR="001D5CCE" w:rsidRDefault="00802C3D" w:rsidP="003A1816">
      <w:pPr>
        <w:ind w:left="1620" w:hanging="360"/>
        <w:rPr>
          <w:rFonts w:cs="Arial"/>
          <w:szCs w:val="22"/>
        </w:rPr>
      </w:pPr>
      <w:r w:rsidRPr="00BA624E">
        <w:rPr>
          <w:rFonts w:cs="Arial"/>
          <w:szCs w:val="22"/>
        </w:rPr>
        <w:t>6)</w:t>
      </w:r>
      <w:r w:rsidRPr="00BA624E">
        <w:rPr>
          <w:rFonts w:cs="Arial"/>
          <w:szCs w:val="22"/>
        </w:rPr>
        <w:tab/>
      </w:r>
      <w:r w:rsidRPr="00BA624E">
        <w:rPr>
          <w:rFonts w:cs="Arial"/>
          <w:szCs w:val="22"/>
          <w:u w:val="single"/>
        </w:rPr>
        <w:t>Aircraft Liability</w:t>
      </w:r>
      <w:r w:rsidRPr="00BA624E">
        <w:rPr>
          <w:rFonts w:cs="Arial"/>
          <w:szCs w:val="22"/>
        </w:rPr>
        <w:t xml:space="preserve"> (when required) - Contractor shall maintain aircraft liability with a limit not less than $3,000,000. The policy shall be endorsed to include, “The State of California, its officers, agents, employees and servants as additional insured, but only insofar as the operations under this Agreement.”  This endorsement must be supplied under form acceptable to the Office of Risk and Insurance Management.</w:t>
      </w:r>
    </w:p>
    <w:p w14:paraId="306C6289" w14:textId="77777777" w:rsidR="003F42EF" w:rsidRDefault="003F42EF" w:rsidP="00357E09">
      <w:pPr>
        <w:pStyle w:val="Heading1"/>
      </w:pPr>
      <w:bookmarkStart w:id="3" w:name="_Hlt467762052"/>
      <w:bookmarkStart w:id="4" w:name="AirorWaterPollution"/>
      <w:bookmarkStart w:id="5" w:name="DVBE"/>
      <w:bookmarkStart w:id="6" w:name="PriorApproval"/>
      <w:bookmarkStart w:id="7" w:name="Confidentiality"/>
      <w:bookmarkStart w:id="8" w:name="_Hlt468462811"/>
      <w:bookmarkStart w:id="9" w:name="Publications"/>
      <w:bookmarkStart w:id="10" w:name="DisputeResolution"/>
      <w:bookmarkStart w:id="11" w:name="FinancialandComplianceAudits"/>
      <w:bookmarkStart w:id="12" w:name="HumanSubjects"/>
      <w:bookmarkStart w:id="13" w:name="SmokeFreeWorkPlace"/>
      <w:bookmarkStart w:id="14" w:name="Covenant"/>
      <w:bookmarkStart w:id="15" w:name="PaymentWithholds"/>
      <w:bookmarkStart w:id="16" w:name="Performance"/>
      <w:bookmarkStart w:id="17" w:name="_Hlt469447789"/>
      <w:bookmarkStart w:id="18" w:name="Officials"/>
      <w:bookmarkStart w:id="19" w:name="ProhibitedUseofStateFunds"/>
      <w:bookmarkStart w:id="20" w:name="UnionOrganizing"/>
      <w:bookmarkStart w:id="21" w:name="Uniformity"/>
      <w:bookmarkStart w:id="22" w:name="Prov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 xml:space="preserve">Insert </w:t>
      </w:r>
      <w:r w:rsidR="00357E09">
        <w:t xml:space="preserve">additional </w:t>
      </w:r>
      <w:r>
        <w:t>provision</w:t>
      </w:r>
      <w:r w:rsidR="00960159">
        <w:t>s</w:t>
      </w:r>
      <w:r>
        <w:t xml:space="preserve"> </w:t>
      </w:r>
      <w:r w:rsidR="00357E09">
        <w:t>if applicable</w:t>
      </w:r>
      <w:bookmarkEnd w:id="22"/>
    </w:p>
    <w:sectPr w:rsidR="003F42EF" w:rsidSect="001D5CCE">
      <w:headerReference w:type="default" r:id="rId11"/>
      <w:footerReference w:type="default" r:id="rId12"/>
      <w:pgSz w:w="12240" w:h="15840"/>
      <w:pgMar w:top="2070" w:right="1080" w:bottom="144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4847" w14:textId="77777777" w:rsidR="0061557B" w:rsidRDefault="0061557B">
      <w:r>
        <w:separator/>
      </w:r>
    </w:p>
  </w:endnote>
  <w:endnote w:type="continuationSeparator" w:id="0">
    <w:p w14:paraId="0106223F" w14:textId="77777777" w:rsidR="0061557B" w:rsidRDefault="0061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57964"/>
      <w:docPartObj>
        <w:docPartGallery w:val="Page Numbers (Bottom of Page)"/>
        <w:docPartUnique/>
      </w:docPartObj>
    </w:sdtPr>
    <w:sdtEndPr/>
    <w:sdtContent>
      <w:sdt>
        <w:sdtPr>
          <w:id w:val="1728636285"/>
          <w:docPartObj>
            <w:docPartGallery w:val="Page Numbers (Top of Page)"/>
            <w:docPartUnique/>
          </w:docPartObj>
        </w:sdtPr>
        <w:sdtEndPr/>
        <w:sdtContent>
          <w:p w14:paraId="5885AA17" w14:textId="091F0274" w:rsidR="00E91E7D" w:rsidRDefault="00E91E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512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12A">
              <w:rPr>
                <w:b/>
                <w:bCs/>
                <w:noProof/>
              </w:rPr>
              <w:t>3</w:t>
            </w:r>
            <w:r>
              <w:rPr>
                <w:b/>
                <w:bCs/>
                <w:sz w:val="24"/>
                <w:szCs w:val="24"/>
              </w:rPr>
              <w:fldChar w:fldCharType="end"/>
            </w:r>
          </w:p>
        </w:sdtContent>
      </w:sdt>
    </w:sdtContent>
  </w:sdt>
  <w:p w14:paraId="1ADB2C8C" w14:textId="77777777" w:rsidR="0033058D" w:rsidRDefault="0033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DA61" w14:textId="77777777" w:rsidR="0061557B" w:rsidRDefault="0061557B">
      <w:r>
        <w:separator/>
      </w:r>
    </w:p>
  </w:footnote>
  <w:footnote w:type="continuationSeparator" w:id="0">
    <w:p w14:paraId="32241B70" w14:textId="77777777" w:rsidR="0061557B" w:rsidRDefault="0061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94F6" w14:textId="77777777" w:rsidR="00B73C39" w:rsidRPr="00B73C39" w:rsidRDefault="00B73C39" w:rsidP="00B73C39">
    <w:pPr>
      <w:tabs>
        <w:tab w:val="center" w:pos="4680"/>
        <w:tab w:val="right" w:pos="9360"/>
      </w:tabs>
      <w:spacing w:after="0"/>
      <w:jc w:val="right"/>
      <w:rPr>
        <w:rFonts w:eastAsia="Calibri" w:cs="Arial"/>
        <w:szCs w:val="22"/>
      </w:rPr>
    </w:pPr>
    <w:r w:rsidRPr="00B73C39">
      <w:rPr>
        <w:rFonts w:eastAsia="Calibri" w:cs="Arial"/>
        <w:szCs w:val="22"/>
      </w:rPr>
      <w:t xml:space="preserve">Appendix </w:t>
    </w:r>
    <w:r w:rsidR="00BE068D">
      <w:rPr>
        <w:rFonts w:eastAsia="Calibri" w:cs="Arial"/>
        <w:szCs w:val="22"/>
      </w:rPr>
      <w:t>8</w:t>
    </w:r>
  </w:p>
  <w:p w14:paraId="54769EB9" w14:textId="77777777" w:rsidR="00B73C39" w:rsidRPr="00B73C39" w:rsidRDefault="00B73C39" w:rsidP="00B73C39">
    <w:pPr>
      <w:tabs>
        <w:tab w:val="center" w:pos="4680"/>
        <w:tab w:val="right" w:pos="9360"/>
      </w:tabs>
      <w:spacing w:after="0"/>
      <w:jc w:val="right"/>
      <w:rPr>
        <w:rFonts w:eastAsia="Calibri" w:cs="Arial"/>
        <w:szCs w:val="22"/>
      </w:rPr>
    </w:pPr>
    <w:r w:rsidRPr="00B73C39">
      <w:rPr>
        <w:rFonts w:eastAsia="Calibri" w:cs="Arial"/>
        <w:szCs w:val="22"/>
      </w:rPr>
      <w:t>CA PREP</w:t>
    </w:r>
  </w:p>
  <w:p w14:paraId="65B3F4B3" w14:textId="77777777" w:rsidR="00B73C39" w:rsidRDefault="00B73C39" w:rsidP="00B73C39">
    <w:pPr>
      <w:tabs>
        <w:tab w:val="center" w:pos="4680"/>
        <w:tab w:val="right" w:pos="9360"/>
      </w:tabs>
      <w:spacing w:after="0"/>
      <w:jc w:val="right"/>
      <w:rPr>
        <w:rFonts w:eastAsia="Calibri" w:cs="Arial"/>
        <w:szCs w:val="22"/>
      </w:rPr>
    </w:pPr>
    <w:r w:rsidRPr="00B73C39">
      <w:rPr>
        <w:rFonts w:eastAsia="Calibri" w:cs="Arial"/>
        <w:szCs w:val="22"/>
      </w:rPr>
      <w:t>#18-10012</w:t>
    </w:r>
  </w:p>
  <w:p w14:paraId="43BF5A88" w14:textId="77777777" w:rsidR="00B73C39" w:rsidRPr="00B73C39" w:rsidRDefault="00B73C39" w:rsidP="00B73C39">
    <w:pPr>
      <w:tabs>
        <w:tab w:val="center" w:pos="4680"/>
        <w:tab w:val="right" w:pos="9360"/>
      </w:tabs>
      <w:spacing w:after="0"/>
      <w:jc w:val="right"/>
      <w:rPr>
        <w:rFonts w:eastAsia="Calibri" w:cs="Arial"/>
        <w:szCs w:val="22"/>
      </w:rPr>
    </w:pPr>
  </w:p>
  <w:p w14:paraId="1F00F5A4" w14:textId="77777777" w:rsidR="0033058D" w:rsidRDefault="0033058D" w:rsidP="001D5CCE">
    <w:pPr>
      <w:pStyle w:val="Header"/>
      <w:jc w:val="center"/>
    </w:pPr>
    <w:r>
      <w:rPr>
        <w:b/>
      </w:rPr>
      <w:t>Exhibit E</w:t>
    </w:r>
    <w:r w:rsidR="001D5CCE">
      <w:rPr>
        <w:b/>
      </w:rPr>
      <w:br/>
    </w:r>
    <w:r>
      <w:rPr>
        <w:bCs/>
      </w:rPr>
      <w:t>Additional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9E"/>
    <w:multiLevelType w:val="hybridMultilevel"/>
    <w:tmpl w:val="602E5E1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B2F4ECF"/>
    <w:multiLevelType w:val="hybridMultilevel"/>
    <w:tmpl w:val="A120D760"/>
    <w:lvl w:ilvl="0" w:tplc="FFFFFFFF">
      <w:start w:val="1"/>
      <w:numFmt w:val="decimal"/>
      <w:lvlText w:val="%1)"/>
      <w:lvlJc w:val="left"/>
      <w:pPr>
        <w:tabs>
          <w:tab w:val="num" w:pos="360"/>
        </w:tabs>
        <w:ind w:left="360" w:hanging="360"/>
      </w:pPr>
      <w:rPr>
        <w:rFonts w:hint="default"/>
      </w:rPr>
    </w:lvl>
    <w:lvl w:ilvl="1" w:tplc="DF3C8062">
      <w:start w:val="1"/>
      <w:numFmt w:val="decimal"/>
      <w:lvlText w:val="%2."/>
      <w:lvlJc w:val="left"/>
      <w:pPr>
        <w:tabs>
          <w:tab w:val="num" w:pos="1800"/>
        </w:tabs>
        <w:ind w:left="1800" w:hanging="720"/>
      </w:pPr>
      <w:rPr>
        <w:rFonts w:hint="default"/>
      </w:rPr>
    </w:lvl>
    <w:lvl w:ilvl="2" w:tplc="0DFE235C">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03503B6"/>
    <w:multiLevelType w:val="hybridMultilevel"/>
    <w:tmpl w:val="BAF6EC38"/>
    <w:lvl w:ilvl="0" w:tplc="CDA4B1B8">
      <w:start w:val="1"/>
      <w:numFmt w:val="decimal"/>
      <w:lvlText w:val="%1."/>
      <w:lvlJc w:val="left"/>
      <w:pPr>
        <w:tabs>
          <w:tab w:val="num" w:pos="720"/>
        </w:tabs>
        <w:ind w:left="720" w:hanging="360"/>
      </w:pPr>
      <w:rPr>
        <w:rFonts w:ascii="Times New Roman" w:eastAsia="Times New Roman" w:hAnsi="Times New Roman" w:cs="Times New Roman"/>
      </w:rPr>
    </w:lvl>
    <w:lvl w:ilvl="1" w:tplc="FEA222BE">
      <w:start w:val="1"/>
      <w:numFmt w:val="decimal"/>
      <w:lvlText w:val="%2)"/>
      <w:lvlJc w:val="left"/>
      <w:pPr>
        <w:tabs>
          <w:tab w:val="num" w:pos="1440"/>
        </w:tabs>
        <w:ind w:left="1440" w:hanging="360"/>
      </w:pPr>
      <w:rPr>
        <w:rFonts w:ascii="Arial" w:hAnsi="Arial" w:hint="default"/>
        <w:b w:val="0"/>
        <w:i w:val="0"/>
        <w:sz w:val="20"/>
      </w:rPr>
    </w:lvl>
    <w:lvl w:ilvl="2" w:tplc="87A8DD4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E305E"/>
    <w:multiLevelType w:val="hybridMultilevel"/>
    <w:tmpl w:val="A3B61DCA"/>
    <w:lvl w:ilvl="0" w:tplc="979CEAB8">
      <w:start w:val="2"/>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124502"/>
    <w:multiLevelType w:val="hybridMultilevel"/>
    <w:tmpl w:val="1CAE81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4242DB"/>
    <w:multiLevelType w:val="singleLevel"/>
    <w:tmpl w:val="9BD4911E"/>
    <w:lvl w:ilvl="0">
      <w:start w:val="1"/>
      <w:numFmt w:val="upperLetter"/>
      <w:lvlText w:val="%1."/>
      <w:lvlJc w:val="left"/>
      <w:pPr>
        <w:tabs>
          <w:tab w:val="num" w:pos="1440"/>
        </w:tabs>
        <w:ind w:left="1440" w:hanging="360"/>
      </w:pPr>
    </w:lvl>
  </w:abstractNum>
  <w:abstractNum w:abstractNumId="6" w15:restartNumberingAfterBreak="0">
    <w:nsid w:val="1C7146A4"/>
    <w:multiLevelType w:val="hybridMultilevel"/>
    <w:tmpl w:val="B342754E"/>
    <w:lvl w:ilvl="0" w:tplc="31D8733C">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327BD"/>
    <w:multiLevelType w:val="singleLevel"/>
    <w:tmpl w:val="56461C0A"/>
    <w:lvl w:ilvl="0">
      <w:start w:val="1"/>
      <w:numFmt w:val="lowerLetter"/>
      <w:lvlText w:val="(%1)"/>
      <w:lvlJc w:val="left"/>
      <w:pPr>
        <w:tabs>
          <w:tab w:val="num" w:pos="1440"/>
        </w:tabs>
        <w:ind w:left="1440" w:hanging="360"/>
      </w:pPr>
      <w:rPr>
        <w:rFonts w:hint="default"/>
      </w:rPr>
    </w:lvl>
  </w:abstractNum>
  <w:abstractNum w:abstractNumId="8" w15:restartNumberingAfterBreak="0">
    <w:nsid w:val="2DB2389D"/>
    <w:multiLevelType w:val="hybridMultilevel"/>
    <w:tmpl w:val="99E08BEA"/>
    <w:lvl w:ilvl="0" w:tplc="46C8E67C">
      <w:start w:val="1"/>
      <w:numFmt w:val="upperLetter"/>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37B2A82"/>
    <w:multiLevelType w:val="hybridMultilevel"/>
    <w:tmpl w:val="E9EA3EFE"/>
    <w:lvl w:ilvl="0" w:tplc="FFFFFFFF">
      <w:start w:val="1"/>
      <w:numFmt w:val="lowerLetter"/>
      <w:lvlText w:val="%1."/>
      <w:lvlJc w:val="left"/>
      <w:pPr>
        <w:tabs>
          <w:tab w:val="num" w:pos="720"/>
        </w:tabs>
        <w:ind w:left="72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1F4502"/>
    <w:multiLevelType w:val="hybridMultilevel"/>
    <w:tmpl w:val="085C1BC2"/>
    <w:lvl w:ilvl="0" w:tplc="CBBCA3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842CA5"/>
    <w:multiLevelType w:val="singleLevel"/>
    <w:tmpl w:val="4402920A"/>
    <w:lvl w:ilvl="0">
      <w:start w:val="1"/>
      <w:numFmt w:val="upperLetter"/>
      <w:lvlText w:val="%1."/>
      <w:lvlJc w:val="left"/>
      <w:pPr>
        <w:tabs>
          <w:tab w:val="num" w:pos="720"/>
        </w:tabs>
        <w:ind w:left="720" w:hanging="360"/>
      </w:pPr>
      <w:rPr>
        <w:rFonts w:hint="default"/>
      </w:rPr>
    </w:lvl>
  </w:abstractNum>
  <w:abstractNum w:abstractNumId="12" w15:restartNumberingAfterBreak="0">
    <w:nsid w:val="3DC86D12"/>
    <w:multiLevelType w:val="multilevel"/>
    <w:tmpl w:val="E544F402"/>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EA00D2"/>
    <w:multiLevelType w:val="hybridMultilevel"/>
    <w:tmpl w:val="579A19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0F05D11"/>
    <w:multiLevelType w:val="hybridMultilevel"/>
    <w:tmpl w:val="557ABE9C"/>
    <w:lvl w:ilvl="0" w:tplc="C3F65F36">
      <w:start w:val="1"/>
      <w:numFmt w:val="lowerLetter"/>
      <w:lvlText w:val="%1."/>
      <w:lvlJc w:val="left"/>
      <w:pPr>
        <w:tabs>
          <w:tab w:val="num" w:pos="720"/>
        </w:tabs>
        <w:ind w:left="720" w:hanging="360"/>
      </w:pPr>
      <w:rPr>
        <w:rFonts w:hint="default"/>
      </w:rPr>
    </w:lvl>
    <w:lvl w:ilvl="1" w:tplc="989283C6">
      <w:start w:val="1"/>
      <w:numFmt w:val="lowerLetter"/>
      <w:lvlText w:val="%2."/>
      <w:lvlJc w:val="left"/>
      <w:pPr>
        <w:tabs>
          <w:tab w:val="num" w:pos="720"/>
        </w:tabs>
        <w:ind w:left="720" w:hanging="360"/>
      </w:pPr>
      <w:rPr>
        <w:rFonts w:hint="default"/>
      </w:rPr>
    </w:lvl>
    <w:lvl w:ilvl="2" w:tplc="C22C9638">
      <w:start w:val="1"/>
      <w:numFmt w:val="bullet"/>
      <w:lvlText w:val=""/>
      <w:lvlJc w:val="left"/>
      <w:pPr>
        <w:tabs>
          <w:tab w:val="num" w:pos="360"/>
        </w:tabs>
        <w:ind w:left="36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055FF"/>
    <w:multiLevelType w:val="hybridMultilevel"/>
    <w:tmpl w:val="BA6653FC"/>
    <w:lvl w:ilvl="0" w:tplc="C3D2DC8C">
      <w:start w:val="1"/>
      <w:numFmt w:val="upperLetter"/>
      <w:lvlText w:val="%1."/>
      <w:lvlJc w:val="left"/>
      <w:pPr>
        <w:tabs>
          <w:tab w:val="num" w:pos="1080"/>
        </w:tabs>
        <w:ind w:left="1080" w:hanging="360"/>
      </w:pPr>
      <w:rPr>
        <w:rFonts w:hint="default"/>
      </w:rPr>
    </w:lvl>
    <w:lvl w:ilvl="1" w:tplc="E22C4BE4">
      <w:start w:val="1"/>
      <w:numFmt w:val="decimal"/>
      <w:lvlText w:val="%2)"/>
      <w:lvlJc w:val="left"/>
      <w:pPr>
        <w:tabs>
          <w:tab w:val="num" w:pos="1440"/>
        </w:tabs>
        <w:ind w:left="1440" w:hanging="36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32CD0"/>
    <w:multiLevelType w:val="hybridMultilevel"/>
    <w:tmpl w:val="BB8C932A"/>
    <w:lvl w:ilvl="0" w:tplc="297032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D91BBA"/>
    <w:multiLevelType w:val="hybridMultilevel"/>
    <w:tmpl w:val="C630AC86"/>
    <w:lvl w:ilvl="0" w:tplc="FC8401D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311B2"/>
    <w:multiLevelType w:val="hybridMultilevel"/>
    <w:tmpl w:val="6658D5F2"/>
    <w:lvl w:ilvl="0" w:tplc="62249932">
      <w:start w:val="1"/>
      <w:numFmt w:val="decimal"/>
      <w:lvlText w:val="%1."/>
      <w:lvlJc w:val="left"/>
      <w:pPr>
        <w:tabs>
          <w:tab w:val="num" w:pos="180"/>
        </w:tabs>
        <w:ind w:left="540" w:hanging="360"/>
      </w:pPr>
      <w:rPr>
        <w:rFonts w:hint="default"/>
        <w:b/>
        <w:color w:val="auto"/>
      </w:rPr>
    </w:lvl>
    <w:lvl w:ilvl="1" w:tplc="551EF178">
      <w:start w:val="1"/>
      <w:numFmt w:val="decimal"/>
      <w:lvlText w:val="%2."/>
      <w:lvlJc w:val="left"/>
      <w:pPr>
        <w:tabs>
          <w:tab w:val="num" w:pos="900"/>
        </w:tabs>
        <w:ind w:left="1260" w:hanging="1260"/>
      </w:pPr>
      <w:rPr>
        <w:rFonts w:hint="default"/>
        <w:b w:val="0"/>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884609E"/>
    <w:multiLevelType w:val="singleLevel"/>
    <w:tmpl w:val="D626074A"/>
    <w:lvl w:ilvl="0">
      <w:start w:val="1"/>
      <w:numFmt w:val="decimal"/>
      <w:lvlText w:val="%1)"/>
      <w:lvlJc w:val="left"/>
      <w:pPr>
        <w:tabs>
          <w:tab w:val="num" w:pos="1440"/>
        </w:tabs>
        <w:ind w:left="1440" w:hanging="360"/>
      </w:pPr>
      <w:rPr>
        <w:rFonts w:hint="default"/>
      </w:rPr>
    </w:lvl>
  </w:abstractNum>
  <w:abstractNum w:abstractNumId="20" w15:restartNumberingAfterBreak="0">
    <w:nsid w:val="6ACC6332"/>
    <w:multiLevelType w:val="hybridMultilevel"/>
    <w:tmpl w:val="9B906E88"/>
    <w:lvl w:ilvl="0" w:tplc="CBBCA3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36122C"/>
    <w:multiLevelType w:val="hybridMultilevel"/>
    <w:tmpl w:val="89C84B96"/>
    <w:lvl w:ilvl="0" w:tplc="FC8401D8">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7C5EEA"/>
    <w:multiLevelType w:val="hybridMultilevel"/>
    <w:tmpl w:val="13FC1036"/>
    <w:lvl w:ilvl="0" w:tplc="CBBCA3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AD42CC"/>
    <w:multiLevelType w:val="hybridMultilevel"/>
    <w:tmpl w:val="489E5F90"/>
    <w:lvl w:ilvl="0" w:tplc="C3DED0C0">
      <w:start w:val="1"/>
      <w:numFmt w:val="upperLetter"/>
      <w:lvlText w:val="%1."/>
      <w:lvlJc w:val="left"/>
      <w:pPr>
        <w:tabs>
          <w:tab w:val="num" w:pos="1515"/>
        </w:tabs>
        <w:ind w:left="540" w:hanging="180"/>
      </w:pPr>
      <w:rPr>
        <w:rFonts w:hint="default"/>
      </w:rPr>
    </w:lvl>
    <w:lvl w:ilvl="1" w:tplc="FC8401D8">
      <w:start w:val="1"/>
      <w:numFmt w:val="bullet"/>
      <w:lvlText w:val=""/>
      <w:lvlJc w:val="left"/>
      <w:pPr>
        <w:tabs>
          <w:tab w:val="num" w:pos="1440"/>
        </w:tabs>
        <w:ind w:left="1440" w:hanging="360"/>
      </w:pPr>
      <w:rPr>
        <w:rFonts w:ascii="Symbol" w:hAnsi="Symbo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D9447D"/>
    <w:multiLevelType w:val="hybridMultilevel"/>
    <w:tmpl w:val="5BDA5376"/>
    <w:lvl w:ilvl="0" w:tplc="FFFFFFFF">
      <w:start w:val="1"/>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15:restartNumberingAfterBreak="0">
    <w:nsid w:val="726C5CEE"/>
    <w:multiLevelType w:val="hybridMultilevel"/>
    <w:tmpl w:val="47C26E48"/>
    <w:lvl w:ilvl="0" w:tplc="BA12BE0C">
      <w:start w:val="3"/>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200FC"/>
    <w:multiLevelType w:val="singleLevel"/>
    <w:tmpl w:val="3DAC430C"/>
    <w:lvl w:ilvl="0">
      <w:start w:val="1"/>
      <w:numFmt w:val="decimal"/>
      <w:pStyle w:val="Heading1"/>
      <w:lvlText w:val="%1."/>
      <w:lvlJc w:val="left"/>
      <w:pPr>
        <w:tabs>
          <w:tab w:val="num" w:pos="720"/>
        </w:tabs>
        <w:ind w:left="720" w:hanging="720"/>
      </w:pPr>
      <w:rPr>
        <w:rFonts w:hint="default"/>
      </w:rPr>
    </w:lvl>
  </w:abstractNum>
  <w:abstractNum w:abstractNumId="27" w15:restartNumberingAfterBreak="0">
    <w:nsid w:val="75BB4BE0"/>
    <w:multiLevelType w:val="hybridMultilevel"/>
    <w:tmpl w:val="0548DA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81F7DEA"/>
    <w:multiLevelType w:val="hybridMultilevel"/>
    <w:tmpl w:val="814E045A"/>
    <w:lvl w:ilvl="0" w:tplc="F4FE74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393875"/>
    <w:multiLevelType w:val="hybridMultilevel"/>
    <w:tmpl w:val="5A524F24"/>
    <w:lvl w:ilvl="0" w:tplc="9DFC41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5"/>
  </w:num>
  <w:num w:numId="3">
    <w:abstractNumId w:val="1"/>
  </w:num>
  <w:num w:numId="4">
    <w:abstractNumId w:val="4"/>
  </w:num>
  <w:num w:numId="5">
    <w:abstractNumId w:val="19"/>
  </w:num>
  <w:num w:numId="6">
    <w:abstractNumId w:val="14"/>
  </w:num>
  <w:num w:numId="7">
    <w:abstractNumId w:val="16"/>
  </w:num>
  <w:num w:numId="8">
    <w:abstractNumId w:val="28"/>
  </w:num>
  <w:num w:numId="9">
    <w:abstractNumId w:val="29"/>
  </w:num>
  <w:num w:numId="10">
    <w:abstractNumId w:val="15"/>
  </w:num>
  <w:num w:numId="11">
    <w:abstractNumId w:val="24"/>
  </w:num>
  <w:num w:numId="12">
    <w:abstractNumId w:val="17"/>
  </w:num>
  <w:num w:numId="13">
    <w:abstractNumId w:val="21"/>
  </w:num>
  <w:num w:numId="14">
    <w:abstractNumId w:val="23"/>
  </w:num>
  <w:num w:numId="15">
    <w:abstractNumId w:val="10"/>
  </w:num>
  <w:num w:numId="16">
    <w:abstractNumId w:val="22"/>
  </w:num>
  <w:num w:numId="17">
    <w:abstractNumId w:val="20"/>
  </w:num>
  <w:num w:numId="18">
    <w:abstractNumId w:val="6"/>
  </w:num>
  <w:num w:numId="19">
    <w:abstractNumId w:val="26"/>
    <w:lvlOverride w:ilvl="0">
      <w:startOverride w:val="1"/>
    </w:lvlOverride>
  </w:num>
  <w:num w:numId="20">
    <w:abstractNumId w:val="11"/>
    <w:lvlOverride w:ilvl="0">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18"/>
  </w:num>
  <w:num w:numId="26">
    <w:abstractNumId w:val="7"/>
  </w:num>
  <w:num w:numId="27">
    <w:abstractNumId w:val="13"/>
  </w:num>
  <w:num w:numId="28">
    <w:abstractNumId w:val="0"/>
  </w:num>
  <w:num w:numId="29">
    <w:abstractNumId w:val="9"/>
  </w:num>
  <w:num w:numId="30">
    <w:abstractNumId w:val="27"/>
  </w:num>
  <w:num w:numId="31">
    <w:abstractNumId w:val="2"/>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EF"/>
    <w:rsid w:val="00000665"/>
    <w:rsid w:val="00027129"/>
    <w:rsid w:val="00031EBA"/>
    <w:rsid w:val="000430F7"/>
    <w:rsid w:val="000B0B9B"/>
    <w:rsid w:val="000B359E"/>
    <w:rsid w:val="00131FBE"/>
    <w:rsid w:val="00164F21"/>
    <w:rsid w:val="001957F1"/>
    <w:rsid w:val="001A17B4"/>
    <w:rsid w:val="001D5CCE"/>
    <w:rsid w:val="0022272B"/>
    <w:rsid w:val="00240379"/>
    <w:rsid w:val="002455DC"/>
    <w:rsid w:val="002750D3"/>
    <w:rsid w:val="002772E6"/>
    <w:rsid w:val="002A5031"/>
    <w:rsid w:val="002A6576"/>
    <w:rsid w:val="002B74D2"/>
    <w:rsid w:val="002F7A3E"/>
    <w:rsid w:val="0033058D"/>
    <w:rsid w:val="00341645"/>
    <w:rsid w:val="00357E09"/>
    <w:rsid w:val="003A1816"/>
    <w:rsid w:val="003B1EBF"/>
    <w:rsid w:val="003D306B"/>
    <w:rsid w:val="003D6789"/>
    <w:rsid w:val="003F42EF"/>
    <w:rsid w:val="003F6042"/>
    <w:rsid w:val="00422559"/>
    <w:rsid w:val="00485D5C"/>
    <w:rsid w:val="004C72A0"/>
    <w:rsid w:val="004D49DC"/>
    <w:rsid w:val="00504BC2"/>
    <w:rsid w:val="00525479"/>
    <w:rsid w:val="005C14D9"/>
    <w:rsid w:val="0061557B"/>
    <w:rsid w:val="00622E54"/>
    <w:rsid w:val="00690848"/>
    <w:rsid w:val="006C41A0"/>
    <w:rsid w:val="006D656D"/>
    <w:rsid w:val="006E1CEB"/>
    <w:rsid w:val="006F0F3E"/>
    <w:rsid w:val="00702762"/>
    <w:rsid w:val="00802C3D"/>
    <w:rsid w:val="00835795"/>
    <w:rsid w:val="0085322F"/>
    <w:rsid w:val="0086578D"/>
    <w:rsid w:val="008735D1"/>
    <w:rsid w:val="00895932"/>
    <w:rsid w:val="008B74C1"/>
    <w:rsid w:val="008E19AA"/>
    <w:rsid w:val="008E1EC3"/>
    <w:rsid w:val="008E4382"/>
    <w:rsid w:val="00907A12"/>
    <w:rsid w:val="00927BE3"/>
    <w:rsid w:val="00946604"/>
    <w:rsid w:val="00960159"/>
    <w:rsid w:val="009911B9"/>
    <w:rsid w:val="009E3F3A"/>
    <w:rsid w:val="009F0189"/>
    <w:rsid w:val="009F234A"/>
    <w:rsid w:val="009F2ACB"/>
    <w:rsid w:val="009F5C5C"/>
    <w:rsid w:val="00A14045"/>
    <w:rsid w:val="00A377CD"/>
    <w:rsid w:val="00A60E1F"/>
    <w:rsid w:val="00A7549D"/>
    <w:rsid w:val="00A81129"/>
    <w:rsid w:val="00B1421F"/>
    <w:rsid w:val="00B1512A"/>
    <w:rsid w:val="00B71B4A"/>
    <w:rsid w:val="00B73C39"/>
    <w:rsid w:val="00B76F8A"/>
    <w:rsid w:val="00BE068D"/>
    <w:rsid w:val="00C31873"/>
    <w:rsid w:val="00C37201"/>
    <w:rsid w:val="00C53936"/>
    <w:rsid w:val="00C84252"/>
    <w:rsid w:val="00CB734A"/>
    <w:rsid w:val="00CC3070"/>
    <w:rsid w:val="00CF726F"/>
    <w:rsid w:val="00D33262"/>
    <w:rsid w:val="00D468B1"/>
    <w:rsid w:val="00D47490"/>
    <w:rsid w:val="00D567E2"/>
    <w:rsid w:val="00D66101"/>
    <w:rsid w:val="00D87BBF"/>
    <w:rsid w:val="00DA1EF0"/>
    <w:rsid w:val="00DB34BA"/>
    <w:rsid w:val="00DD7628"/>
    <w:rsid w:val="00DF41B3"/>
    <w:rsid w:val="00E272F0"/>
    <w:rsid w:val="00E91E7D"/>
    <w:rsid w:val="00E94F30"/>
    <w:rsid w:val="00EE6139"/>
    <w:rsid w:val="00F00CD4"/>
    <w:rsid w:val="00F34E08"/>
    <w:rsid w:val="00F9036F"/>
    <w:rsid w:val="00FA0B5B"/>
    <w:rsid w:val="00FC2F98"/>
    <w:rsid w:val="00FE61DA"/>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19EA36"/>
  <w15:chartTrackingRefBased/>
  <w15:docId w15:val="{759776FE-415E-4572-B640-19D4378C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CE"/>
    <w:pPr>
      <w:spacing w:after="240"/>
    </w:pPr>
    <w:rPr>
      <w:rFonts w:ascii="Arial" w:hAnsi="Arial"/>
      <w:sz w:val="22"/>
    </w:rPr>
  </w:style>
  <w:style w:type="paragraph" w:styleId="Heading1">
    <w:name w:val="heading 1"/>
    <w:basedOn w:val="Normal"/>
    <w:next w:val="Normal"/>
    <w:qFormat/>
    <w:rsid w:val="001D5CCE"/>
    <w:pPr>
      <w:keepNext/>
      <w:keepLines/>
      <w:numPr>
        <w:numId w:val="1"/>
      </w:numPr>
      <w:outlineLvl w:val="0"/>
    </w:pPr>
    <w:rPr>
      <w:b/>
      <w:bCs/>
    </w:rPr>
  </w:style>
  <w:style w:type="paragraph" w:styleId="Heading2">
    <w:name w:val="heading 2"/>
    <w:aliases w:val="Heading 2a"/>
    <w:basedOn w:val="Normal"/>
    <w:next w:val="Normal"/>
    <w:qFormat/>
    <w:pPr>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720"/>
        <w:tab w:val="right" w:leader="dot" w:pos="10080"/>
      </w:tabs>
      <w:spacing w:after="120"/>
    </w:pPr>
    <w:rPr>
      <w:b/>
      <w:noProof/>
      <w:szCs w:val="28"/>
    </w:rPr>
  </w:style>
  <w:style w:type="character" w:styleId="CommentReference">
    <w:name w:val="annotation reference"/>
    <w:semiHidden/>
    <w:rPr>
      <w:b/>
      <w:sz w:val="22"/>
      <w:szCs w:val="16"/>
      <w:bdr w:val="none" w:sz="0" w:space="0" w:color="auto"/>
      <w:shd w:val="clear" w:color="auto" w:fill="FFFF99"/>
    </w:rPr>
  </w:style>
  <w:style w:type="paragraph" w:styleId="CommentText">
    <w:name w:val="annotation text"/>
    <w:basedOn w:val="Normal"/>
    <w:semiHidden/>
    <w:pPr>
      <w:spacing w:after="120"/>
    </w:pPr>
  </w:style>
  <w:style w:type="paragraph" w:styleId="NormalWeb">
    <w:name w:val="Normal (Web)"/>
    <w:basedOn w:val="Normal"/>
    <w:pPr>
      <w:spacing w:before="100" w:beforeAutospacing="1" w:after="100" w:afterAutospacing="1"/>
    </w:pPr>
    <w:rPr>
      <w:szCs w:val="24"/>
    </w:rPr>
  </w:style>
  <w:style w:type="character" w:styleId="Hyperlink">
    <w:name w:val="Hyperlink"/>
    <w:rPr>
      <w:rFonts w:ascii="Arial" w:hAnsi="Arial"/>
      <w:color w:val="0000FF"/>
      <w:sz w:val="22"/>
      <w:u w:val="single"/>
    </w:rPr>
  </w:style>
  <w:style w:type="character" w:styleId="PageNumber">
    <w:name w:val="page number"/>
    <w:rPr>
      <w:rFonts w:ascii="Arial" w:hAnsi="Arial"/>
      <w:sz w:val="22"/>
    </w:rPr>
  </w:style>
  <w:style w:type="paragraph" w:styleId="TOC2">
    <w:name w:val="toc 2"/>
    <w:basedOn w:val="Normal"/>
    <w:next w:val="Normal"/>
    <w:semiHidden/>
    <w:pPr>
      <w:tabs>
        <w:tab w:val="right" w:leader="dot" w:pos="10080"/>
      </w:tabs>
      <w:spacing w:after="120"/>
      <w:ind w:left="720"/>
    </w:pPr>
    <w:rPr>
      <w:noProof/>
    </w:rPr>
  </w:style>
  <w:style w:type="paragraph" w:styleId="TOC3">
    <w:name w:val="toc 3"/>
    <w:next w:val="Normal"/>
    <w:autoRedefine/>
    <w:semiHidden/>
    <w:pPr>
      <w:widowControl w:val="0"/>
      <w:tabs>
        <w:tab w:val="left" w:pos="1440"/>
        <w:tab w:val="right" w:leader="dot" w:pos="10080"/>
      </w:tabs>
      <w:spacing w:after="120"/>
      <w:ind w:left="1080"/>
    </w:pPr>
    <w:rPr>
      <w:rFonts w:ascii="Arial" w:hAnsi="Arial"/>
      <w:noProof/>
      <w:sz w:val="22"/>
      <w:szCs w:val="22"/>
    </w:rPr>
  </w:style>
  <w:style w:type="paragraph" w:styleId="TOC4">
    <w:name w:val="toc 4"/>
    <w:basedOn w:val="Normal"/>
    <w:next w:val="Normal"/>
    <w:autoRedefine/>
    <w:semiHidden/>
    <w:pPr>
      <w:widowControl w:val="0"/>
      <w:tabs>
        <w:tab w:val="left" w:pos="1800"/>
        <w:tab w:val="right" w:leader="dot" w:pos="10080"/>
      </w:tabs>
      <w:spacing w:after="120"/>
      <w:ind w:left="1440"/>
    </w:pPr>
  </w:style>
  <w:style w:type="paragraph" w:styleId="Header">
    <w:name w:val="header"/>
    <w:basedOn w:val="Normal"/>
    <w:pPr>
      <w:widowControl w:val="0"/>
      <w:tabs>
        <w:tab w:val="center" w:pos="4320"/>
        <w:tab w:val="right" w:pos="8640"/>
      </w:tabs>
    </w:pPr>
  </w:style>
  <w:style w:type="paragraph" w:styleId="BodyText">
    <w:name w:val="Body Text"/>
    <w:basedOn w:val="Normal"/>
    <w:pPr>
      <w:spacing w:after="58"/>
    </w:pPr>
    <w:rPr>
      <w:color w:val="0000FF"/>
    </w:rPr>
  </w:style>
  <w:style w:type="paragraph" w:styleId="BodyTextIndent2">
    <w:name w:val="Body Text Indent 2"/>
    <w:basedOn w:val="Normal"/>
    <w:pPr>
      <w:widowControl w:val="0"/>
      <w:tabs>
        <w:tab w:val="left" w:pos="720"/>
        <w:tab w:val="center" w:pos="5040"/>
        <w:tab w:val="left" w:pos="5400"/>
        <w:tab w:val="left" w:pos="6120"/>
        <w:tab w:val="left" w:pos="6840"/>
        <w:tab w:val="left" w:pos="7560"/>
        <w:tab w:val="left" w:pos="8280"/>
        <w:tab w:val="left" w:pos="9000"/>
        <w:tab w:val="left" w:pos="9720"/>
      </w:tabs>
      <w:ind w:left="720" w:hanging="360"/>
      <w:jc w:val="both"/>
    </w:pPr>
  </w:style>
  <w:style w:type="paragraph" w:styleId="BodyTextIndent">
    <w:name w:val="Body Text Indent"/>
    <w:basedOn w:val="Normal"/>
    <w:pPr>
      <w:widowControl w:val="0"/>
      <w:tabs>
        <w:tab w:val="left" w:pos="1080"/>
        <w:tab w:val="left" w:pos="1800"/>
        <w:tab w:val="left" w:pos="2700"/>
        <w:tab w:val="left" w:pos="3240"/>
        <w:tab w:val="left" w:pos="3960"/>
        <w:tab w:val="left" w:pos="4680"/>
        <w:tab w:val="left" w:pos="5400"/>
        <w:tab w:val="left" w:pos="6120"/>
        <w:tab w:val="left" w:pos="6840"/>
        <w:tab w:val="left" w:pos="7560"/>
        <w:tab w:val="left" w:pos="8280"/>
        <w:tab w:val="left" w:pos="9000"/>
        <w:tab w:val="left" w:pos="9720"/>
      </w:tabs>
      <w:ind w:left="1080" w:hanging="360"/>
      <w:jc w:val="both"/>
    </w:pPr>
  </w:style>
  <w:style w:type="paragraph" w:styleId="BodyTextIndent3">
    <w:name w:val="Body Text Indent 3"/>
    <w:basedOn w:val="Normal"/>
    <w:pPr>
      <w:tabs>
        <w:tab w:val="left" w:pos="-1440"/>
        <w:tab w:val="left" w:pos="1080"/>
      </w:tabs>
      <w:ind w:left="72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customStyle="1" w:styleId="KHeading">
    <w:name w:val="K Heading"/>
    <w:basedOn w:val="Normal"/>
    <w:pPr>
      <w:widowControl w:val="0"/>
    </w:pPr>
    <w:rPr>
      <w:b/>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3">
    <w:name w:val="List 3"/>
    <w:basedOn w:val="Normal"/>
    <w:rsid w:val="00802C3D"/>
    <w:pPr>
      <w:ind w:left="1080" w:hanging="360"/>
    </w:pPr>
    <w:rPr>
      <w:rFonts w:ascii="Times New Roman" w:hAnsi="Times New Roman"/>
      <w:sz w:val="24"/>
    </w:rPr>
  </w:style>
  <w:style w:type="paragraph" w:styleId="BalloonText">
    <w:name w:val="Balloon Text"/>
    <w:basedOn w:val="Normal"/>
    <w:link w:val="BalloonTextChar"/>
    <w:rsid w:val="000B0B9B"/>
    <w:rPr>
      <w:rFonts w:ascii="Tahoma" w:hAnsi="Tahoma" w:cs="Tahoma"/>
      <w:sz w:val="16"/>
      <w:szCs w:val="16"/>
    </w:rPr>
  </w:style>
  <w:style w:type="character" w:customStyle="1" w:styleId="BalloonTextChar">
    <w:name w:val="Balloon Text Char"/>
    <w:link w:val="BalloonText"/>
    <w:rsid w:val="000B0B9B"/>
    <w:rPr>
      <w:rFonts w:ascii="Tahoma" w:hAnsi="Tahoma" w:cs="Tahoma"/>
      <w:sz w:val="16"/>
      <w:szCs w:val="16"/>
    </w:rPr>
  </w:style>
  <w:style w:type="character" w:customStyle="1" w:styleId="FooterChar">
    <w:name w:val="Footer Char"/>
    <w:basedOn w:val="DefaultParagraphFont"/>
    <w:link w:val="Footer"/>
    <w:uiPriority w:val="99"/>
    <w:rsid w:val="00E91E7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C76A3741AE4D4CB9A2DF18DC099D49" ma:contentTypeVersion="2" ma:contentTypeDescription="Create a new document." ma:contentTypeScope="" ma:versionID="5b7918ef73949aa8d0f05358a08df66f">
  <xsd:schema xmlns:xsd="http://www.w3.org/2001/XMLSchema" xmlns:xs="http://www.w3.org/2001/XMLSchema" xmlns:p="http://schemas.microsoft.com/office/2006/metadata/properties" xmlns:ns1="http://schemas.microsoft.com/sharepoint/v3" targetNamespace="http://schemas.microsoft.com/office/2006/metadata/properties" ma:root="true" ma:fieldsID="8e4b0e8923defe20063f6f9395a1f4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72B0C-E13E-4EB6-A49E-EFB9DD25BB18}"/>
</file>

<file path=customXml/itemProps2.xml><?xml version="1.0" encoding="utf-8"?>
<ds:datastoreItem xmlns:ds="http://schemas.openxmlformats.org/officeDocument/2006/customXml" ds:itemID="{6C0DF225-E046-4A31-B7CD-389578D7EFAB}"/>
</file>

<file path=customXml/itemProps3.xml><?xml version="1.0" encoding="utf-8"?>
<ds:datastoreItem xmlns:ds="http://schemas.openxmlformats.org/officeDocument/2006/customXml" ds:itemID="{575149A7-7717-48BE-B2DA-432BBCFB00F8}"/>
</file>

<file path=customXml/itemProps4.xml><?xml version="1.0" encoding="utf-8"?>
<ds:datastoreItem xmlns:ds="http://schemas.openxmlformats.org/officeDocument/2006/customXml" ds:itemID="{C79ABADF-E544-4E3F-A2E6-395FBEC42BEE}"/>
</file>

<file path=docProps/app.xml><?xml version="1.0" encoding="utf-8"?>
<Properties xmlns="http://schemas.openxmlformats.org/officeDocument/2006/extended-properties" xmlns:vt="http://schemas.openxmlformats.org/officeDocument/2006/docPropsVTypes">
  <Template>D37E42C3.dotm</Template>
  <TotalTime>5</TotalTime>
  <Pages>3</Pages>
  <Words>1000</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Exhibit E - Additional Provisions Instructions</vt:lpstr>
    </vt:vector>
  </TitlesOfParts>
  <Company>DHCS and CDPH</Company>
  <LinksUpToDate>false</LinksUpToDate>
  <CharactersWithSpaces>6763</CharactersWithSpaces>
  <SharedDoc>false</SharedDoc>
  <HLinks>
    <vt:vector size="18" baseType="variant">
      <vt:variant>
        <vt:i4>262175</vt:i4>
      </vt:variant>
      <vt:variant>
        <vt:i4>6</vt:i4>
      </vt:variant>
      <vt:variant>
        <vt:i4>0</vt:i4>
      </vt:variant>
      <vt:variant>
        <vt:i4>5</vt:i4>
      </vt:variant>
      <vt:variant>
        <vt:lpwstr/>
      </vt:variant>
      <vt:variant>
        <vt:lpwstr>Prov8</vt:lpwstr>
      </vt:variant>
      <vt:variant>
        <vt:i4>262175</vt:i4>
      </vt:variant>
      <vt:variant>
        <vt:i4>3</vt:i4>
      </vt:variant>
      <vt:variant>
        <vt:i4>0</vt:i4>
      </vt:variant>
      <vt:variant>
        <vt:i4>5</vt:i4>
      </vt:variant>
      <vt:variant>
        <vt:lpwstr/>
      </vt:variant>
      <vt:variant>
        <vt:lpwstr>Prov5</vt:lpwstr>
      </vt:variant>
      <vt:variant>
        <vt:i4>262175</vt:i4>
      </vt:variant>
      <vt:variant>
        <vt:i4>0</vt:i4>
      </vt:variant>
      <vt:variant>
        <vt:i4>0</vt:i4>
      </vt:variant>
      <vt:variant>
        <vt:i4>5</vt:i4>
      </vt:variant>
      <vt:variant>
        <vt:lpwstr/>
      </vt:variant>
      <vt:variant>
        <vt:lpwstr>Prov1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Exhibit E - Additional Provisions Instructions</dc:title>
  <dc:subject/>
  <dc:creator>Jayna Querin</dc:creator>
  <cp:keywords/>
  <cp:lastModifiedBy>Lee, Stefanie (CDPH-CFH-MCAH-ABSS)</cp:lastModifiedBy>
  <cp:revision>3</cp:revision>
  <cp:lastPrinted>2017-11-14T20:18:00Z</cp:lastPrinted>
  <dcterms:created xsi:type="dcterms:W3CDTF">2017-11-14T20:18:00Z</dcterms:created>
  <dcterms:modified xsi:type="dcterms:W3CDTF">2017-11-14T20:23:00Z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Williams, Abigail (CDPH-PSB)</vt:lpwstr>
  </property>
  <property fmtid="{D5CDD505-2E9C-101B-9397-08002B2CF9AE}" pid="4" name="Order">
    <vt:lpwstr>322900.000000000</vt:lpwstr>
  </property>
  <property fmtid="{D5CDD505-2E9C-101B-9397-08002B2CF9AE}" pid="5" name="display_urn:schemas-microsoft-com:office:office#Author">
    <vt:lpwstr>Williams, Abigail (CDPH-PSB)</vt:lpwstr>
  </property>
  <property fmtid="{D5CDD505-2E9C-101B-9397-08002B2CF9AE}" pid="6" name="ContentTypeId">
    <vt:lpwstr>0x0101005EC76A3741AE4D4CB9A2DF18DC099D49</vt:lpwstr>
  </property>
  <property fmtid="{D5CDD505-2E9C-101B-9397-08002B2CF9AE}" pid="7"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8" name="off2d280d04f435e8ad65f64297220d7">
    <vt:lpwstr>Local Agency|a83f7ca9-5f36-4e0a-8547-5f9ce4325ad6; Local Government|1cd0782c-1d77-4248-a4cc-dba29f07cf73; Local Health Jurisdiction|f68e075a-b17d-44d0-8f5c-4e108c72d912; Non-Profit Organization|b8cff195-25c4-4b19-9ac6-ae25c51a2bc6; Community Based Organization|36af281b-a546-4033-90fb-79469fe234da</vt:lpwstr>
  </property>
  <property fmtid="{D5CDD505-2E9C-101B-9397-08002B2CF9AE}" pid="9" name="TaxCatchAll">
    <vt:lpwstr>318;#Adolescent Health|7f7bcacd-74fb-433c-b8a9-bcdfd9b96da4;#197;# Local Health Jurisdiction|f68e075a-b17d-44d0-8f5c-4e108c72d912;#127;#Maternal, Child, and Adolescent Health|9f0ed868-60d0-412a-904d-9f1a17133701;#193;# Non-Profit Organization|b8cff195-25c4-4b19-9ac6-ae25c51a2bc6;#192;#Local Agency|a83f7ca9-5f36-4e0a-8547-5f9ce4325ad6;#191;# Community Based Organization|36af281b-a546-4033-90fb-79469fe234da;#190;# Local Government|1cd0782c-1d77-4248-a4cc-dba29f07cf73</vt:lpwstr>
  </property>
  <property fmtid="{D5CDD505-2E9C-101B-9397-08002B2CF9AE}" pid="10" name="bb1a85d7c91c4659b60f056ef7672151">
    <vt:lpwstr>Maternal, Child, and Adolescent Health|9f0ed868-60d0-412a-904d-9f1a17133701</vt:lpwstr>
  </property>
  <property fmtid="{D5CDD505-2E9C-101B-9397-08002B2CF9AE}" pid="11" name="Program">
    <vt:lpwstr>127;#Maternal, Child, and Adolescent Health|9f0ed868-60d0-412a-904d-9f1a17133701</vt:lpwstr>
  </property>
  <property fmtid="{D5CDD505-2E9C-101B-9397-08002B2CF9AE}" pid="12" name="kcdf3820fa7642e8be4bb4902ce9671f">
    <vt:lpwstr>Adolescent Health|7f7bcacd-74fb-433c-b8a9-bcdfd9b96da4</vt:lpwstr>
  </property>
  <property fmtid="{D5CDD505-2E9C-101B-9397-08002B2CF9AE}" pid="13" name="Topic">
    <vt:lpwstr>318;#Adolescent Health|7f7bcacd-74fb-433c-b8a9-bcdfd9b96da4</vt:lpwstr>
  </property>
</Properties>
</file>